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978" w:rsidRDefault="006F3C66" w:rsidP="006F3C66">
      <w:pPr>
        <w:widowControl w:val="0"/>
        <w:spacing w:before="240" w:after="240" w:line="276" w:lineRule="auto"/>
        <w:jc w:val="center"/>
        <w:rPr>
          <w:b/>
          <w:bCs/>
          <w:sz w:val="18"/>
          <w:szCs w:val="40"/>
          <w:rtl/>
        </w:rPr>
      </w:pPr>
      <w:r>
        <w:rPr>
          <w:rFonts w:hint="cs"/>
          <w:b/>
          <w:bCs/>
          <w:sz w:val="18"/>
          <w:szCs w:val="40"/>
          <w:rtl/>
        </w:rPr>
        <w:t>لائحة صلاحيات مجلس الإدارة</w:t>
      </w:r>
    </w:p>
    <w:p w:rsidR="00C857B0" w:rsidRDefault="00C857B0" w:rsidP="006F3C66">
      <w:pPr>
        <w:widowControl w:val="0"/>
        <w:spacing w:before="240" w:after="240" w:line="276" w:lineRule="auto"/>
        <w:jc w:val="center"/>
        <w:rPr>
          <w:b/>
          <w:bCs/>
          <w:sz w:val="18"/>
          <w:szCs w:val="40"/>
          <w:rtl/>
        </w:rPr>
      </w:pPr>
    </w:p>
    <w:p w:rsidR="00C857B0" w:rsidRPr="002464E4" w:rsidRDefault="00C857B0" w:rsidP="006F3C66">
      <w:pPr>
        <w:widowControl w:val="0"/>
        <w:spacing w:before="240" w:after="240" w:line="276" w:lineRule="auto"/>
        <w:jc w:val="center"/>
        <w:rPr>
          <w:b/>
          <w:bCs/>
          <w:sz w:val="18"/>
          <w:szCs w:val="40"/>
          <w:rtl/>
        </w:rPr>
      </w:pPr>
    </w:p>
    <w:p w:rsidR="00714C99" w:rsidRPr="00C857B0" w:rsidRDefault="00714C99" w:rsidP="00714C99">
      <w:pPr>
        <w:pStyle w:val="a7"/>
        <w:widowControl w:val="0"/>
        <w:numPr>
          <w:ilvl w:val="0"/>
          <w:numId w:val="4"/>
        </w:numPr>
        <w:spacing w:before="240" w:after="240" w:line="276" w:lineRule="auto"/>
        <w:jc w:val="both"/>
        <w:rPr>
          <w:b/>
          <w:bCs/>
          <w:sz w:val="16"/>
          <w:szCs w:val="28"/>
        </w:rPr>
      </w:pPr>
      <w:r w:rsidRPr="00C857B0">
        <w:rPr>
          <w:rFonts w:hint="cs"/>
          <w:b/>
          <w:bCs/>
          <w:sz w:val="16"/>
          <w:szCs w:val="28"/>
          <w:rtl/>
        </w:rPr>
        <w:t>اعتماد خطط عمل الجمعية ومنه</w:t>
      </w:r>
      <w:r w:rsidRPr="00C857B0">
        <w:rPr>
          <w:rFonts w:hint="eastAsia"/>
          <w:b/>
          <w:bCs/>
          <w:sz w:val="16"/>
          <w:szCs w:val="28"/>
          <w:rtl/>
        </w:rPr>
        <w:t>ا</w:t>
      </w:r>
      <w:r w:rsidRPr="00C857B0">
        <w:rPr>
          <w:rFonts w:hint="cs"/>
          <w:b/>
          <w:bCs/>
          <w:sz w:val="16"/>
          <w:szCs w:val="28"/>
          <w:rtl/>
        </w:rPr>
        <w:t xml:space="preserve"> الخطة الاستراتيجية والخطة التنفيذية وغيرها من خطط العمل الرئيسية ومتابعة تنفيذها.</w:t>
      </w:r>
    </w:p>
    <w:p w:rsidR="00714C99" w:rsidRPr="00C857B0" w:rsidRDefault="00714C99" w:rsidP="00714C99">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المراجعة الدورية للهياكل التنظيمية والوظيفية في الجمعية واعتمادها.</w:t>
      </w:r>
    </w:p>
    <w:p w:rsidR="00714C99" w:rsidRPr="00C857B0" w:rsidRDefault="00714C99" w:rsidP="00714C99">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وضع أنظمة وضوابط للرقابة الداخلية والإشراف عليها وإجراء مراجعة دورية للتحقق من فاعليتها.</w:t>
      </w:r>
    </w:p>
    <w:p w:rsidR="00714C99" w:rsidRPr="00C857B0" w:rsidRDefault="00714C99" w:rsidP="00714C99">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وضع أسس ومعايير لحوكمة الجمعية لا تتعارض مع أحكام النظام واللائحة التنفيذية وهذه اللائحة، والإشراف على تنفيذها ومراقبة مدى فاعليتها وتعدليها عن الحاجة.</w:t>
      </w:r>
    </w:p>
    <w:p w:rsidR="00714C99" w:rsidRPr="00C857B0" w:rsidRDefault="00714C99" w:rsidP="00714C99">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 xml:space="preserve">فتح الحسابات </w:t>
      </w:r>
      <w:r w:rsidR="005927D0" w:rsidRPr="00C857B0">
        <w:rPr>
          <w:rFonts w:hint="cs"/>
          <w:b/>
          <w:bCs/>
          <w:sz w:val="16"/>
          <w:szCs w:val="28"/>
          <w:rtl/>
        </w:rPr>
        <w:t>البنكية لدى والمصارف السعودية ودفع وتحصيل الشيكات أو أذونات الصرف وكشوف الحسابات وتنشيط الحسابات وقفلها وتسويتها وتحديث البيانات والاعتراض على الشيكات واستلام الشيكات المرتجعة وغيرها من العمليات البنكية.</w:t>
      </w:r>
    </w:p>
    <w:p w:rsidR="005927D0" w:rsidRPr="00C857B0" w:rsidRDefault="005927D0" w:rsidP="00714C99">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تنمية الموارد المالية للجمعية والسعي لتحقيق الاستدامة لها.</w:t>
      </w:r>
    </w:p>
    <w:p w:rsidR="005927D0" w:rsidRPr="00C857B0" w:rsidRDefault="005927D0" w:rsidP="00714C99">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إدارة ممتلكات الجمعية وأموالها.</w:t>
      </w:r>
    </w:p>
    <w:p w:rsidR="005927D0" w:rsidRPr="00C857B0" w:rsidRDefault="00486E6D" w:rsidP="00714C99">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 xml:space="preserve">التعاون في إعداد التقارير الربعية والسنوية </w:t>
      </w:r>
      <w:r w:rsidR="00B71BD9" w:rsidRPr="00C857B0">
        <w:rPr>
          <w:rFonts w:hint="cs"/>
          <w:b/>
          <w:bCs/>
          <w:sz w:val="16"/>
          <w:szCs w:val="28"/>
          <w:rtl/>
        </w:rPr>
        <w:t>عن الجمعية وتزويد الوزارة بها.</w:t>
      </w:r>
    </w:p>
    <w:p w:rsidR="00B71BD9" w:rsidRPr="00C857B0" w:rsidRDefault="00B71BD9" w:rsidP="00714C99">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تحديث بيانات الجمعية بشكل دوري وتزويد الوزارة بها وفق النماذج التي تعتمدها لهذا الغرض.</w:t>
      </w:r>
    </w:p>
    <w:p w:rsidR="00B71BD9" w:rsidRPr="00C857B0" w:rsidRDefault="00B71BD9" w:rsidP="00714C99">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تزويد الوزارة بالحساب الختامي والتقارير المالية المدققة من مراجع الحسابات بعد إقرارها من الجمعية العمومية وخلال أربعة أشهر من نهاية السنة المالية.</w:t>
      </w:r>
    </w:p>
    <w:p w:rsidR="00B71BD9" w:rsidRPr="00C857B0" w:rsidRDefault="00B71BD9" w:rsidP="00714C99">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الإشراف على إعداد التقرير السنوي للجمعية واعتماده.</w:t>
      </w:r>
    </w:p>
    <w:p w:rsidR="00B71BD9" w:rsidRPr="00C857B0" w:rsidRDefault="00B71BD9" w:rsidP="00714C99">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الإشراف على إعداد الموازنة التقديرية للسنة المالية الجديدة ورفعها للجمعية العمومية لاعتمادها.</w:t>
      </w:r>
    </w:p>
    <w:p w:rsidR="00B71BD9" w:rsidRPr="00C857B0" w:rsidRDefault="00B71BD9" w:rsidP="00B71BD9">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تعيين مدير تنفيذي متفرغ للجمعية، وتحديد صلاحياته ومسؤوليته وتزويد الوزارة باسمه وقرار تعيينه وصورة من هويته الوطنية مع بيانات التواصل.</w:t>
      </w:r>
    </w:p>
    <w:p w:rsidR="00B71BD9" w:rsidRPr="00C857B0" w:rsidRDefault="00B71BD9" w:rsidP="00B71BD9">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تعيين الموظفين القياديين في الجمعية وتحديد صلاحياتهم ومسؤوليتهم.</w:t>
      </w:r>
    </w:p>
    <w:p w:rsidR="00B71BD9" w:rsidRPr="00C857B0" w:rsidRDefault="00B71BD9" w:rsidP="00B71BD9">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إبلاغ الوزارة بكل تغيير يطرأ على الحالة النظامية لأعضاء الجمعية العمومية ومجلس الإدارة والمدير التنفيذي والمدير المالي وذلك خلال شهر من تاريخ حدوث التغيير.</w:t>
      </w:r>
    </w:p>
    <w:p w:rsidR="00B71BD9" w:rsidRPr="00C857B0" w:rsidRDefault="00B71BD9" w:rsidP="00B71BD9">
      <w:pPr>
        <w:pStyle w:val="a7"/>
        <w:widowControl w:val="0"/>
        <w:numPr>
          <w:ilvl w:val="0"/>
          <w:numId w:val="4"/>
        </w:numPr>
        <w:spacing w:before="240" w:after="240" w:line="276" w:lineRule="auto"/>
        <w:jc w:val="both"/>
        <w:rPr>
          <w:b/>
          <w:bCs/>
          <w:sz w:val="16"/>
          <w:szCs w:val="28"/>
        </w:rPr>
      </w:pPr>
      <w:r w:rsidRPr="00C857B0">
        <w:rPr>
          <w:rFonts w:hint="cs"/>
          <w:b/>
          <w:bCs/>
          <w:sz w:val="16"/>
          <w:szCs w:val="28"/>
          <w:rtl/>
        </w:rPr>
        <w:t>وضع السياسات والإجراءات التي تضمن التزام الجمعية بالأنظمة واللوائح إضافة إلى الالتزام بالإفصاح عن المعلومات الجوهرية للمستفيدين والوزارة والجهة المشرفة واصحاب المصالح الآخرين وتمكين الآخر من الإطلاع على الحساب الختامي والتقارير المالية والإدارية ونشرها على الموقع الإلكتروني للجمعية.</w:t>
      </w:r>
    </w:p>
    <w:p w:rsidR="00840876" w:rsidRPr="00C857B0" w:rsidRDefault="00840876" w:rsidP="00B71BD9">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lastRenderedPageBreak/>
        <w:t>الإشراف على تنفيذ قرارات وتعليمات الجمعية العمومية أو المراجع الخارجي أو الوزارة أو الجهة المشرفة.</w:t>
      </w:r>
    </w:p>
    <w:p w:rsidR="00840876" w:rsidRPr="00C857B0" w:rsidRDefault="00840876" w:rsidP="00B71BD9">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وضع إجراءات لضمان الحصول على موافقة الوزارة والجهة المشرفة في أي إجراء يستلزم ذلك.</w:t>
      </w:r>
    </w:p>
    <w:p w:rsidR="00840876" w:rsidRPr="00C857B0" w:rsidRDefault="00840876" w:rsidP="00B71BD9">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استيفاء ما للجمعية من حقوق وتأدية ما عليه</w:t>
      </w:r>
      <w:r w:rsidRPr="00C857B0">
        <w:rPr>
          <w:rFonts w:hint="eastAsia"/>
          <w:b/>
          <w:bCs/>
          <w:sz w:val="16"/>
          <w:szCs w:val="28"/>
          <w:rtl/>
        </w:rPr>
        <w:t>ا</w:t>
      </w:r>
      <w:r w:rsidRPr="00C857B0">
        <w:rPr>
          <w:rFonts w:hint="cs"/>
          <w:b/>
          <w:bCs/>
          <w:sz w:val="16"/>
          <w:szCs w:val="28"/>
          <w:rtl/>
        </w:rPr>
        <w:t xml:space="preserve"> من التزامات وإصدار القرارات اللازمة في هذا الشأن.</w:t>
      </w:r>
    </w:p>
    <w:p w:rsidR="00840876" w:rsidRPr="00C857B0" w:rsidRDefault="00840876" w:rsidP="00B71BD9">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التعريف بالجمعية والعمل على إبراز اهدافها وأنشطتها في الأوساط ذات العلاقة.</w:t>
      </w:r>
    </w:p>
    <w:p w:rsidR="00840876" w:rsidRPr="00C857B0" w:rsidRDefault="00840876" w:rsidP="00B71BD9">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قبول العضويات بمختلف أشكالها وتسبيب قرارات رفضها.</w:t>
      </w:r>
    </w:p>
    <w:p w:rsidR="00840876" w:rsidRPr="00C857B0" w:rsidRDefault="00840876" w:rsidP="00840876">
      <w:pPr>
        <w:pStyle w:val="a7"/>
        <w:widowControl w:val="0"/>
        <w:numPr>
          <w:ilvl w:val="0"/>
          <w:numId w:val="4"/>
        </w:numPr>
        <w:spacing w:before="240" w:after="240" w:line="276" w:lineRule="auto"/>
        <w:jc w:val="both"/>
        <w:rPr>
          <w:b/>
          <w:bCs/>
          <w:sz w:val="16"/>
          <w:szCs w:val="28"/>
        </w:rPr>
      </w:pPr>
      <w:r w:rsidRPr="00C857B0">
        <w:rPr>
          <w:rFonts w:hint="cs"/>
          <w:b/>
          <w:bCs/>
          <w:sz w:val="16"/>
          <w:szCs w:val="28"/>
          <w:rtl/>
        </w:rPr>
        <w:t>دعوة الجمعية العمومية للانعقاد.</w:t>
      </w:r>
    </w:p>
    <w:p w:rsidR="00840876" w:rsidRPr="00C857B0" w:rsidRDefault="00076F0A" w:rsidP="00840876">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وضع القواعد والإجراءات اللازمة لتنظيم عمل اللجان بعد تكوينها وكيفية التنسيق بينها واعتمادها من الجمعية العمومية.</w:t>
      </w:r>
    </w:p>
    <w:p w:rsidR="00076F0A" w:rsidRPr="00C857B0" w:rsidRDefault="00076F0A" w:rsidP="00840876">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أي مهام أخرى يكلف بها من قبل الجمعية العمومية أو الوزارة أو الجهة المشرفة في مجال اختصاصه.</w:t>
      </w:r>
    </w:p>
    <w:p w:rsidR="00076F0A" w:rsidRPr="00C857B0" w:rsidRDefault="00076F0A" w:rsidP="00840876">
      <w:pPr>
        <w:pStyle w:val="a7"/>
        <w:widowControl w:val="0"/>
        <w:numPr>
          <w:ilvl w:val="0"/>
          <w:numId w:val="4"/>
        </w:numPr>
        <w:spacing w:before="240" w:after="240" w:line="276" w:lineRule="auto"/>
        <w:jc w:val="both"/>
        <w:rPr>
          <w:b/>
          <w:bCs/>
          <w:sz w:val="16"/>
          <w:szCs w:val="28"/>
        </w:rPr>
      </w:pPr>
      <w:r w:rsidRPr="00C857B0">
        <w:rPr>
          <w:rFonts w:hint="cs"/>
          <w:b/>
          <w:bCs/>
          <w:sz w:val="16"/>
          <w:szCs w:val="28"/>
          <w:rtl/>
        </w:rPr>
        <w:t xml:space="preserve">تصدر قرارات المجلس بأغلبية أصوات الحاضرين، وفي حال </w:t>
      </w:r>
      <w:r w:rsidR="00E91C52" w:rsidRPr="00C857B0">
        <w:rPr>
          <w:rFonts w:hint="cs"/>
          <w:b/>
          <w:bCs/>
          <w:sz w:val="16"/>
          <w:szCs w:val="28"/>
          <w:rtl/>
        </w:rPr>
        <w:t>تساوي الأصوات فيعد صوت الرئيس مرجحاً.</w:t>
      </w:r>
    </w:p>
    <w:p w:rsidR="00E91C52" w:rsidRPr="00C857B0" w:rsidRDefault="00E91C52" w:rsidP="00840876">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تدون وقائع الاجتماع وقراراته في محضر ويوقع عليه الاعضاء الحاضرون.</w:t>
      </w:r>
    </w:p>
    <w:p w:rsidR="00E91C52" w:rsidRPr="00C857B0" w:rsidRDefault="00E91C52" w:rsidP="00840876">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يحق للمجلس أن يفوض الرئيس أو نائبه والمشرف المالي بالتصرف معاَ فيما له من اختصاصات مالية أو ينتج عنه اختصاصات مالية، واتخاذ المناسب تجاهها،</w:t>
      </w:r>
      <w:r w:rsidR="004E0F07" w:rsidRPr="00C857B0">
        <w:rPr>
          <w:rFonts w:hint="cs"/>
          <w:b/>
          <w:bCs/>
          <w:sz w:val="16"/>
          <w:szCs w:val="28"/>
          <w:rtl/>
        </w:rPr>
        <w:t xml:space="preserve"> ويحق للمجلس فيما عداها من اختصاصات تشكيل لجان دائمة أو مؤقتة منه للقيام بما بها من أعمال، وله الاستعانة بأعضاء من خارجه، وله تفويض الرئيس أو أي عضو آخر في ذلك.</w:t>
      </w:r>
    </w:p>
    <w:p w:rsidR="004E0F07" w:rsidRPr="00C857B0" w:rsidRDefault="004E0F07" w:rsidP="00840876">
      <w:pPr>
        <w:pStyle w:val="a7"/>
        <w:widowControl w:val="0"/>
        <w:numPr>
          <w:ilvl w:val="0"/>
          <w:numId w:val="4"/>
        </w:numPr>
        <w:spacing w:before="240" w:after="240" w:line="276" w:lineRule="auto"/>
        <w:jc w:val="both"/>
        <w:rPr>
          <w:rFonts w:hint="cs"/>
          <w:b/>
          <w:bCs/>
          <w:sz w:val="16"/>
          <w:szCs w:val="28"/>
        </w:rPr>
      </w:pPr>
      <w:r w:rsidRPr="00C857B0">
        <w:rPr>
          <w:rFonts w:hint="cs"/>
          <w:b/>
          <w:bCs/>
          <w:sz w:val="16"/>
          <w:szCs w:val="28"/>
          <w:rtl/>
        </w:rPr>
        <w:t>على مجلس ال</w:t>
      </w:r>
      <w:r w:rsidR="00C857B0" w:rsidRPr="00C857B0">
        <w:rPr>
          <w:rFonts w:hint="cs"/>
          <w:b/>
          <w:bCs/>
          <w:sz w:val="16"/>
          <w:szCs w:val="28"/>
          <w:rtl/>
        </w:rPr>
        <w:t>إدارة تفويض رئيسه أو نائبه أو من يراه بتمثيل الجمعية أمام الجهات مثل الوزارات والمحاكم والإدارات الحكومية والخاصة وغيرها، وتحديد صلاحياته ومنحه حق تفويض وتوكيل غيره من عدمه.</w:t>
      </w:r>
    </w:p>
    <w:p w:rsidR="00C857B0" w:rsidRPr="00C857B0" w:rsidRDefault="00C857B0" w:rsidP="00840876">
      <w:pPr>
        <w:pStyle w:val="a7"/>
        <w:widowControl w:val="0"/>
        <w:numPr>
          <w:ilvl w:val="0"/>
          <w:numId w:val="4"/>
        </w:numPr>
        <w:spacing w:before="240" w:after="240" w:line="276" w:lineRule="auto"/>
        <w:jc w:val="both"/>
        <w:rPr>
          <w:b/>
          <w:bCs/>
          <w:sz w:val="16"/>
          <w:szCs w:val="28"/>
        </w:rPr>
      </w:pPr>
      <w:r w:rsidRPr="00C857B0">
        <w:rPr>
          <w:rFonts w:hint="cs"/>
          <w:b/>
          <w:bCs/>
          <w:sz w:val="16"/>
          <w:szCs w:val="28"/>
          <w:rtl/>
        </w:rPr>
        <w:t>يجوز لمجلس الإدارة التصرف في أملاك الجمعية العقارية بالشراء أو البيع بعد الحصول على تفويض من الجمعية العمومية في ذلك.</w:t>
      </w:r>
    </w:p>
    <w:p w:rsidR="00C857B0" w:rsidRPr="00C857B0" w:rsidRDefault="00C857B0" w:rsidP="00C857B0">
      <w:pPr>
        <w:widowControl w:val="0"/>
        <w:spacing w:before="240" w:after="240" w:line="276" w:lineRule="auto"/>
        <w:jc w:val="both"/>
        <w:rPr>
          <w:b/>
          <w:bCs/>
          <w:sz w:val="14"/>
          <w:szCs w:val="24"/>
        </w:rPr>
      </w:pPr>
    </w:p>
    <w:p w:rsidR="000E5978" w:rsidRPr="002464E4" w:rsidRDefault="00F462BD" w:rsidP="00155E06">
      <w:pPr>
        <w:widowControl w:val="0"/>
        <w:spacing w:before="240" w:after="240" w:line="276" w:lineRule="auto"/>
        <w:jc w:val="both"/>
        <w:rPr>
          <w:rFonts w:ascii="Lotus Linotype" w:hAnsi="Lotus Linotype" w:cs="Lotus Linotype"/>
          <w:szCs w:val="32"/>
          <w:rtl/>
        </w:rPr>
      </w:pPr>
      <w:r w:rsidRPr="002464E4">
        <w:rPr>
          <w:rFonts w:ascii="Lotus Linotype" w:hAnsi="Lotus Linotype" w:cs="Lotus Linotype"/>
          <w:szCs w:val="32"/>
          <w:rtl/>
        </w:rPr>
        <w:t xml:space="preserve">اعتمد مجلس إدارة الجمعية في الاجتماع </w:t>
      </w:r>
      <w:r w:rsidR="00155E06">
        <w:rPr>
          <w:rFonts w:ascii="Lotus Linotype" w:hAnsi="Lotus Linotype" w:cs="Lotus Linotype" w:hint="cs"/>
          <w:szCs w:val="32"/>
          <w:rtl/>
        </w:rPr>
        <w:t>رقم (6</w:t>
      </w:r>
      <w:bookmarkStart w:id="0" w:name="_GoBack"/>
      <w:bookmarkEnd w:id="0"/>
      <w:r w:rsidRPr="002464E4">
        <w:rPr>
          <w:rFonts w:ascii="Lotus Linotype" w:hAnsi="Lotus Linotype" w:cs="Lotus Linotype"/>
          <w:szCs w:val="32"/>
          <w:rtl/>
        </w:rPr>
        <w:t xml:space="preserve">) </w:t>
      </w:r>
      <w:r w:rsidR="000E5978" w:rsidRPr="002464E4">
        <w:rPr>
          <w:rFonts w:ascii="Lotus Linotype" w:hAnsi="Lotus Linotype" w:cs="Lotus Linotype"/>
          <w:szCs w:val="32"/>
          <w:rtl/>
        </w:rPr>
        <w:t xml:space="preserve">هذه السياسة </w:t>
      </w:r>
      <w:r w:rsidR="00155E06" w:rsidRPr="002464E4">
        <w:rPr>
          <w:rFonts w:ascii="Lotus Linotype" w:hAnsi="Lotus Linotype" w:cs="Lotus Linotype" w:hint="cs"/>
          <w:szCs w:val="32"/>
          <w:rtl/>
        </w:rPr>
        <w:t>في 23</w:t>
      </w:r>
      <w:r w:rsidR="00155E06" w:rsidRPr="00155E06">
        <w:rPr>
          <w:rFonts w:ascii="Lotus Linotype" w:hAnsi="Lotus Linotype" w:cs="Lotus Linotype"/>
          <w:szCs w:val="32"/>
          <w:rtl/>
        </w:rPr>
        <w:t>/10/2019م</w:t>
      </w:r>
      <w:r w:rsidR="000E5978" w:rsidRPr="002464E4">
        <w:rPr>
          <w:rFonts w:ascii="Lotus Linotype" w:hAnsi="Lotus Linotype" w:cs="Lotus Linotype"/>
          <w:szCs w:val="32"/>
          <w:rtl/>
        </w:rPr>
        <w:t>. وتحل هذه السياسة محل جميع سياسا</w:t>
      </w:r>
      <w:r w:rsidR="002464E4" w:rsidRPr="002464E4">
        <w:rPr>
          <w:rFonts w:ascii="Lotus Linotype" w:hAnsi="Lotus Linotype" w:cs="Lotus Linotype"/>
          <w:szCs w:val="32"/>
          <w:rtl/>
        </w:rPr>
        <w:t xml:space="preserve">ت </w:t>
      </w:r>
      <w:r w:rsidR="00FF7D55">
        <w:rPr>
          <w:rFonts w:ascii="Lotus Linotype" w:hAnsi="Lotus Linotype" w:cs="Lotus Linotype" w:hint="cs"/>
          <w:szCs w:val="32"/>
          <w:rtl/>
        </w:rPr>
        <w:t>إدارة المتطوعين</w:t>
      </w:r>
      <w:r w:rsidR="002464E4" w:rsidRPr="002464E4">
        <w:rPr>
          <w:rFonts w:ascii="Lotus Linotype" w:hAnsi="Lotus Linotype" w:cs="Lotus Linotype"/>
          <w:szCs w:val="32"/>
          <w:rtl/>
        </w:rPr>
        <w:t xml:space="preserve"> الموضوعة سابقا. </w:t>
      </w:r>
    </w:p>
    <w:sectPr w:rsidR="000E5978" w:rsidRPr="002464E4" w:rsidSect="00356EFC">
      <w:headerReference w:type="even" r:id="rId7"/>
      <w:footerReference w:type="even" r:id="rId8"/>
      <w:footerReference w:type="default" r:id="rId9"/>
      <w:headerReference w:type="first" r:id="rId10"/>
      <w:endnotePr>
        <w:numFmt w:val="lowerLetter"/>
      </w:endnotePr>
      <w:pgSz w:w="11907" w:h="16840"/>
      <w:pgMar w:top="1440" w:right="1418" w:bottom="1440" w:left="1418" w:header="0" w:footer="0" w:gutter="0"/>
      <w:pgNumType w:start="1"/>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CB7" w:rsidRDefault="00807CB7">
      <w:r>
        <w:separator/>
      </w:r>
    </w:p>
  </w:endnote>
  <w:endnote w:type="continuationSeparator" w:id="0">
    <w:p w:rsidR="00807CB7" w:rsidRDefault="0080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Linotype">
    <w:altName w:val="Arial"/>
    <w:charset w:val="00"/>
    <w:family w:val="auto"/>
    <w:pitch w:val="variable"/>
    <w:sig w:usb0="00002007" w:usb1="80000000" w:usb2="00000008" w:usb3="00000000" w:csb0="00000043"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71" w:rsidRDefault="002464E4">
    <w:pPr>
      <w:pStyle w:val="a6"/>
      <w:framePr w:wrap="around" w:vAnchor="text" w:hAnchor="margin" w:xAlign="center" w:y="1"/>
      <w:jc w:val="right"/>
      <w:rPr>
        <w:rStyle w:val="a4"/>
        <w:rtl/>
      </w:rPr>
    </w:pPr>
    <w:r>
      <w:rPr>
        <w:rStyle w:val="a4"/>
      </w:rPr>
      <w:fldChar w:fldCharType="begin"/>
    </w:r>
    <w:r>
      <w:rPr>
        <w:rStyle w:val="a4"/>
      </w:rPr>
      <w:instrText xml:space="preserve">PAGE  </w:instrText>
    </w:r>
    <w:r>
      <w:rPr>
        <w:rStyle w:val="a4"/>
      </w:rPr>
      <w:fldChar w:fldCharType="end"/>
    </w:r>
  </w:p>
  <w:p w:rsidR="00466071" w:rsidRDefault="00807CB7">
    <w:pPr>
      <w:pStyle w:val="a6"/>
      <w:jc w:val="right"/>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71" w:rsidRDefault="002464E4">
    <w:pPr>
      <w:pStyle w:val="a6"/>
      <w:framePr w:wrap="around" w:vAnchor="text" w:hAnchor="margin" w:xAlign="center" w:y="1"/>
      <w:jc w:val="right"/>
      <w:rPr>
        <w:rStyle w:val="a4"/>
        <w:rtl/>
      </w:rPr>
    </w:pPr>
    <w:r>
      <w:rPr>
        <w:rStyle w:val="a4"/>
      </w:rPr>
      <w:fldChar w:fldCharType="begin"/>
    </w:r>
    <w:r>
      <w:rPr>
        <w:rStyle w:val="a4"/>
      </w:rPr>
      <w:instrText xml:space="preserve">PAGE  </w:instrText>
    </w:r>
    <w:r>
      <w:rPr>
        <w:rStyle w:val="a4"/>
      </w:rPr>
      <w:fldChar w:fldCharType="separate"/>
    </w:r>
    <w:r w:rsidR="00C857B0">
      <w:rPr>
        <w:rStyle w:val="a4"/>
        <w:noProof/>
        <w:rtl/>
      </w:rPr>
      <w:t>2</w:t>
    </w:r>
    <w:r>
      <w:rPr>
        <w:rStyle w:val="a4"/>
      </w:rPr>
      <w:fldChar w:fldCharType="end"/>
    </w:r>
  </w:p>
  <w:p w:rsidR="00466071" w:rsidRDefault="00807CB7">
    <w:pPr>
      <w:pStyle w:val="a6"/>
      <w:jc w:val="right"/>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CB7" w:rsidRDefault="00807CB7">
      <w:r>
        <w:separator/>
      </w:r>
    </w:p>
  </w:footnote>
  <w:footnote w:type="continuationSeparator" w:id="0">
    <w:p w:rsidR="00807CB7" w:rsidRDefault="00807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71" w:rsidRDefault="002464E4">
    <w:pPr>
      <w:pStyle w:val="a3"/>
      <w:framePr w:wrap="around" w:vAnchor="text" w:hAnchor="margin" w:xAlign="center" w:y="1"/>
      <w:jc w:val="right"/>
      <w:rPr>
        <w:rStyle w:val="a4"/>
        <w:rtl/>
      </w:rPr>
    </w:pPr>
    <w:r>
      <w:rPr>
        <w:rStyle w:val="a4"/>
      </w:rPr>
      <w:fldChar w:fldCharType="begin"/>
    </w:r>
    <w:r>
      <w:rPr>
        <w:rStyle w:val="a4"/>
      </w:rPr>
      <w:instrText xml:space="preserve">PAGE  </w:instrText>
    </w:r>
    <w:r>
      <w:rPr>
        <w:rStyle w:val="a4"/>
      </w:rPr>
      <w:fldChar w:fldCharType="end"/>
    </w:r>
  </w:p>
  <w:p w:rsidR="00466071" w:rsidRDefault="00807CB7">
    <w:pPr>
      <w:pStyle w:val="a3"/>
      <w:jc w:val="right"/>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EFC" w:rsidRDefault="00356EFC" w:rsidP="00356EFC">
    <w:pPr>
      <w:pStyle w:val="a3"/>
      <w:jc w:val="center"/>
    </w:pPr>
    <w:r w:rsidRPr="00356EFC">
      <w:rPr>
        <w:noProof/>
        <w:rtl/>
      </w:rPr>
      <w:drawing>
        <wp:inline distT="0" distB="0" distL="0" distR="0">
          <wp:extent cx="2009775" cy="1514475"/>
          <wp:effectExtent l="0" t="0" r="9525" b="9525"/>
          <wp:docPr id="1" name="صورة 1" descr="C:\Users\acs\Documents\Office2010\شعار الجمعية.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s\Documents\Office2010\شعار الجمعية.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2100670" cy="15829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62BCF"/>
    <w:multiLevelType w:val="hybridMultilevel"/>
    <w:tmpl w:val="CF9C1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F70051"/>
    <w:multiLevelType w:val="hybridMultilevel"/>
    <w:tmpl w:val="AACE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1A7425"/>
    <w:multiLevelType w:val="hybridMultilevel"/>
    <w:tmpl w:val="1A966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AB4CAE"/>
    <w:multiLevelType w:val="hybridMultilevel"/>
    <w:tmpl w:val="DB026FD8"/>
    <w:lvl w:ilvl="0" w:tplc="AA5059A8">
      <w:numFmt w:val="bullet"/>
      <w:lvlText w:val="-"/>
      <w:lvlJc w:val="left"/>
      <w:pPr>
        <w:ind w:left="720" w:hanging="360"/>
      </w:pPr>
      <w:rPr>
        <w:rFonts w:ascii="Lotus Linotype" w:eastAsia="Times New Roman" w:hAnsi="Lotus Linotype" w:cs="Lotus Linotype"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78"/>
    <w:rsid w:val="00076F0A"/>
    <w:rsid w:val="000E5978"/>
    <w:rsid w:val="00155E06"/>
    <w:rsid w:val="001D29BF"/>
    <w:rsid w:val="002014E9"/>
    <w:rsid w:val="002464E4"/>
    <w:rsid w:val="00356EFC"/>
    <w:rsid w:val="00374EBB"/>
    <w:rsid w:val="003A5E18"/>
    <w:rsid w:val="00486E6D"/>
    <w:rsid w:val="004B2062"/>
    <w:rsid w:val="004B7227"/>
    <w:rsid w:val="004E0F07"/>
    <w:rsid w:val="004E1078"/>
    <w:rsid w:val="00574450"/>
    <w:rsid w:val="005927D0"/>
    <w:rsid w:val="0060051C"/>
    <w:rsid w:val="00694A20"/>
    <w:rsid w:val="006F3C66"/>
    <w:rsid w:val="00714C99"/>
    <w:rsid w:val="007E0FA3"/>
    <w:rsid w:val="007E4F52"/>
    <w:rsid w:val="00807CB7"/>
    <w:rsid w:val="00840876"/>
    <w:rsid w:val="00892643"/>
    <w:rsid w:val="008C7C39"/>
    <w:rsid w:val="00A17DCA"/>
    <w:rsid w:val="00B01286"/>
    <w:rsid w:val="00B71BD9"/>
    <w:rsid w:val="00C857B0"/>
    <w:rsid w:val="00DA031A"/>
    <w:rsid w:val="00DB4C4D"/>
    <w:rsid w:val="00DC33AF"/>
    <w:rsid w:val="00E91C52"/>
    <w:rsid w:val="00F462BD"/>
    <w:rsid w:val="00F54FCE"/>
    <w:rsid w:val="00F87AEA"/>
    <w:rsid w:val="00FF7D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E3AD2-5AFD-4483-ADCE-F1A7A9EA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akkal Majalla" w:eastAsiaTheme="minorHAnsi" w:hAnsi="Sakkal Majalla" w:cs="Sakkal Majalla"/>
        <w:sz w:val="3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978"/>
    <w:pPr>
      <w:overflowPunct w:val="0"/>
      <w:autoSpaceDE w:val="0"/>
      <w:autoSpaceDN w:val="0"/>
      <w:bidi/>
      <w:adjustRightInd w:val="0"/>
      <w:spacing w:after="0" w:line="240" w:lineRule="auto"/>
      <w:textAlignment w:val="baseline"/>
    </w:pPr>
    <w:rPr>
      <w:rFonts w:ascii="Times New Roman" w:eastAsia="Times New Roman" w:hAnsi="Times New Roman" w:cs="Times New Roman"/>
      <w:sz w:val="2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E5978"/>
    <w:pPr>
      <w:tabs>
        <w:tab w:val="center" w:pos="4153"/>
        <w:tab w:val="right" w:pos="8306"/>
      </w:tabs>
    </w:pPr>
  </w:style>
  <w:style w:type="character" w:customStyle="1" w:styleId="Char">
    <w:name w:val="رأس الصفحة Char"/>
    <w:basedOn w:val="a0"/>
    <w:link w:val="a3"/>
    <w:rsid w:val="000E5978"/>
    <w:rPr>
      <w:rFonts w:ascii="Times New Roman" w:eastAsia="Times New Roman" w:hAnsi="Times New Roman" w:cs="Times New Roman"/>
      <w:sz w:val="22"/>
      <w:szCs w:val="36"/>
    </w:rPr>
  </w:style>
  <w:style w:type="character" w:styleId="a4">
    <w:name w:val="page number"/>
    <w:basedOn w:val="a0"/>
    <w:rsid w:val="000E5978"/>
  </w:style>
  <w:style w:type="paragraph" w:styleId="a5">
    <w:name w:val="List"/>
    <w:basedOn w:val="a"/>
    <w:rsid w:val="000E5978"/>
    <w:pPr>
      <w:ind w:left="283" w:hanging="283"/>
    </w:pPr>
  </w:style>
  <w:style w:type="paragraph" w:styleId="a6">
    <w:name w:val="footer"/>
    <w:basedOn w:val="a"/>
    <w:link w:val="Char0"/>
    <w:rsid w:val="000E5978"/>
    <w:pPr>
      <w:tabs>
        <w:tab w:val="center" w:pos="4153"/>
        <w:tab w:val="right" w:pos="8306"/>
      </w:tabs>
    </w:pPr>
  </w:style>
  <w:style w:type="character" w:customStyle="1" w:styleId="Char0">
    <w:name w:val="تذييل الصفحة Char"/>
    <w:basedOn w:val="a0"/>
    <w:link w:val="a6"/>
    <w:rsid w:val="000E5978"/>
    <w:rPr>
      <w:rFonts w:ascii="Times New Roman" w:eastAsia="Times New Roman" w:hAnsi="Times New Roman" w:cs="Times New Roman"/>
      <w:sz w:val="22"/>
      <w:szCs w:val="36"/>
    </w:rPr>
  </w:style>
  <w:style w:type="paragraph" w:styleId="a7">
    <w:name w:val="List Paragraph"/>
    <w:basedOn w:val="a"/>
    <w:uiPriority w:val="34"/>
    <w:qFormat/>
    <w:rsid w:val="000E5978"/>
    <w:pPr>
      <w:ind w:left="720"/>
      <w:contextualSpacing/>
    </w:pPr>
  </w:style>
  <w:style w:type="paragraph" w:styleId="a8">
    <w:name w:val="Balloon Text"/>
    <w:basedOn w:val="a"/>
    <w:link w:val="Char1"/>
    <w:uiPriority w:val="99"/>
    <w:semiHidden/>
    <w:unhideWhenUsed/>
    <w:rsid w:val="00155E06"/>
    <w:rPr>
      <w:rFonts w:ascii="Tahoma" w:hAnsi="Tahoma" w:cs="Tahoma"/>
      <w:sz w:val="18"/>
      <w:szCs w:val="18"/>
    </w:rPr>
  </w:style>
  <w:style w:type="character" w:customStyle="1" w:styleId="Char1">
    <w:name w:val="نص في بالون Char"/>
    <w:basedOn w:val="a0"/>
    <w:link w:val="a8"/>
    <w:uiPriority w:val="99"/>
    <w:semiHidden/>
    <w:rsid w:val="00155E06"/>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4322</TotalTime>
  <Pages>2</Pages>
  <Words>504</Words>
  <Characters>2879</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معاوية الانصاري</dc:creator>
  <cp:keywords/>
  <dc:description/>
  <cp:lastModifiedBy>acs</cp:lastModifiedBy>
  <cp:revision>4</cp:revision>
  <cp:lastPrinted>2019-11-18T06:02:00Z</cp:lastPrinted>
  <dcterms:created xsi:type="dcterms:W3CDTF">2019-11-14T14:36:00Z</dcterms:created>
  <dcterms:modified xsi:type="dcterms:W3CDTF">2019-11-18T06:02:00Z</dcterms:modified>
</cp:coreProperties>
</file>